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60"/>
        <w:jc w:val="center"/>
        <w:rPr>
          <w:rFonts w:ascii="Verdana" w:hAnsi="Verdana" w:eastAsia="Times New Roman" w:cs="Times New Roman"/>
          <w:b/>
          <w:b/>
          <w:color w:val="000000"/>
          <w:sz w:val="24"/>
          <w:szCs w:val="36"/>
          <w:lang w:eastAsia="en-AU"/>
        </w:rPr>
      </w:pPr>
      <w:r>
        <w:drawing>
          <wp:anchor behindDoc="0" distT="0" distB="0" distL="0" distR="114300" simplePos="0" locked="0" layoutInCell="1" allowOverlap="1" relativeHeight="3">
            <wp:simplePos x="0" y="0"/>
            <wp:positionH relativeFrom="margin">
              <wp:align>left</wp:align>
            </wp:positionH>
            <wp:positionV relativeFrom="paragraph">
              <wp:posOffset>13335</wp:posOffset>
            </wp:positionV>
            <wp:extent cx="1435100" cy="110490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435100" cy="1104900"/>
                    </a:xfrm>
                    <a:prstGeom prst="rect">
                      <a:avLst/>
                    </a:prstGeom>
                  </pic:spPr>
                </pic:pic>
              </a:graphicData>
            </a:graphic>
          </wp:anchor>
        </w:drawing>
      </w:r>
      <w:r>
        <w:rPr>
          <w:rFonts w:eastAsia="Times New Roman" w:cs="Times New Roman" w:ascii="Verdana" w:hAnsi="Verdana"/>
          <w:b/>
          <w:color w:val="000000"/>
          <w:sz w:val="24"/>
          <w:szCs w:val="36"/>
          <w:lang w:eastAsia="en-AU"/>
        </w:rPr>
        <w:t>9</w:t>
      </w:r>
      <w:r>
        <w:rPr>
          <w:rFonts w:eastAsia="Times New Roman" w:cs="Times New Roman" w:ascii="Verdana" w:hAnsi="Verdana"/>
          <w:b/>
          <w:color w:val="000000"/>
          <w:sz w:val="24"/>
          <w:szCs w:val="36"/>
          <w:lang w:eastAsia="en-AU"/>
        </w:rPr>
        <w:t>th Annual Chemical Engineering Postgraduate Association (CEPA) Conference</w:t>
      </w:r>
    </w:p>
    <w:p>
      <w:pPr>
        <w:pStyle w:val="Normal"/>
        <w:spacing w:lineRule="atLeast" w:line="360"/>
        <w:jc w:val="center"/>
        <w:rPr>
          <w:rFonts w:ascii="Verdana" w:hAnsi="Verdana" w:eastAsia="Times New Roman" w:cs="Times New Roman"/>
          <w:b/>
          <w:b/>
          <w:color w:val="000000"/>
          <w:sz w:val="24"/>
          <w:szCs w:val="36"/>
          <w:lang w:eastAsia="en-AU"/>
        </w:rPr>
      </w:pPr>
      <w:r>
        <w:rPr>
          <w:rFonts w:eastAsia="Times New Roman" w:cs="Times New Roman" w:ascii="Verdana" w:hAnsi="Verdana"/>
          <w:b/>
          <w:color w:val="000000"/>
          <w:sz w:val="24"/>
          <w:szCs w:val="36"/>
          <w:lang w:eastAsia="en-AU"/>
        </w:rPr>
        <w:t>Conference travel awards terms and conditions</w:t>
      </w:r>
    </w:p>
    <w:p>
      <w:pPr>
        <w:pStyle w:val="Normal"/>
        <w:spacing w:lineRule="atLeast" w:line="360"/>
        <w:jc w:val="center"/>
        <w:rPr>
          <w:rFonts w:ascii="Verdana" w:hAnsi="Verdana" w:eastAsia="Times New Roman" w:cs="Times New Roman"/>
          <w:b/>
          <w:b/>
          <w:color w:val="000000"/>
          <w:sz w:val="24"/>
          <w:szCs w:val="36"/>
          <w:lang w:eastAsia="en-AU"/>
        </w:rPr>
      </w:pPr>
      <w:r>
        <w:rPr>
          <w:rFonts w:eastAsia="Times New Roman" w:cs="Times New Roman" w:ascii="Verdana" w:hAnsi="Verdana"/>
          <w:b/>
          <w:color w:val="000000"/>
          <w:sz w:val="24"/>
          <w:szCs w:val="36"/>
          <w:lang w:eastAsia="en-AU"/>
        </w:rPr>
      </w:r>
    </w:p>
    <w:p>
      <w:pPr>
        <w:pStyle w:val="ListParagraph"/>
        <w:numPr>
          <w:ilvl w:val="0"/>
          <w:numId w:val="1"/>
        </w:numPr>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The CEPA committee will award 7 x $1000.00 AUD conference travel prizes to be aligned with the following exciting engineering fields related to work performed at Monash University:</w:t>
      </w:r>
    </w:p>
    <w:p>
      <w:pPr>
        <w:pStyle w:val="ListParagraph"/>
        <w:numPr>
          <w:ilvl w:val="0"/>
          <w:numId w:val="2"/>
        </w:numPr>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Membranes</w:t>
      </w:r>
    </w:p>
    <w:p>
      <w:pPr>
        <w:pStyle w:val="ListParagraph"/>
        <w:numPr>
          <w:ilvl w:val="0"/>
          <w:numId w:val="2"/>
        </w:numPr>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Biotechnology</w:t>
      </w:r>
    </w:p>
    <w:p>
      <w:pPr>
        <w:pStyle w:val="ListParagraph"/>
        <w:numPr>
          <w:ilvl w:val="0"/>
          <w:numId w:val="2"/>
        </w:numPr>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Food Engineering</w:t>
      </w:r>
    </w:p>
    <w:p>
      <w:pPr>
        <w:pStyle w:val="ListParagraph"/>
        <w:numPr>
          <w:ilvl w:val="0"/>
          <w:numId w:val="2"/>
        </w:numPr>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Fuels and Energy</w:t>
      </w:r>
    </w:p>
    <w:p>
      <w:pPr>
        <w:pStyle w:val="ListParagraph"/>
        <w:numPr>
          <w:ilvl w:val="0"/>
          <w:numId w:val="2"/>
        </w:numPr>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Modelling</w:t>
      </w:r>
    </w:p>
    <w:p>
      <w:pPr>
        <w:pStyle w:val="ListParagraph"/>
        <w:numPr>
          <w:ilvl w:val="0"/>
          <w:numId w:val="2"/>
        </w:numPr>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 xml:space="preserve">Nanomaterials </w:t>
      </w:r>
    </w:p>
    <w:p>
      <w:pPr>
        <w:pStyle w:val="ListParagraph"/>
        <w:numPr>
          <w:ilvl w:val="0"/>
          <w:numId w:val="2"/>
        </w:numPr>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Renewable and Sustainable Engineering</w:t>
      </w:r>
    </w:p>
    <w:p>
      <w:pPr>
        <w:pStyle w:val="ListParagraph"/>
        <w:numPr>
          <w:ilvl w:val="0"/>
          <w:numId w:val="1"/>
        </w:numPr>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 xml:space="preserve">Each theme winner will be presented with a certificate of conference attendance and an award certificate in recognition of their achievement. The winner will be chosen from their submitted abstracts </w:t>
      </w:r>
      <w:r>
        <w:rPr>
          <w:rFonts w:cs="Arial" w:ascii="Arial" w:hAnsi="Arial"/>
          <w:color w:val="222222"/>
          <w:shd w:fill="FFFFFF" w:val="clear"/>
        </w:rPr>
        <w:t>and their conference presentation. Winners will</w:t>
      </w:r>
      <w:r>
        <w:rPr>
          <w:rFonts w:eastAsia="Times New Roman" w:cs="Arial" w:ascii="Arial" w:hAnsi="Arial"/>
          <w:color w:val="000000"/>
          <w:lang w:eastAsia="en-AU"/>
        </w:rPr>
        <w:t xml:space="preserve"> be announced at the Post-Conference Alumni and Industry Networking Event, courtesy of proud awards sponsors.</w:t>
      </w:r>
    </w:p>
    <w:p>
      <w:pPr>
        <w:pStyle w:val="ListParagraph"/>
        <w:numPr>
          <w:ilvl w:val="0"/>
          <w:numId w:val="1"/>
        </w:numPr>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All prizes will be awarded on the condition the winner agrees to accept their prize in person at the Post-Conference Alumni and Industry Networking Event to be held on 31</w:t>
      </w:r>
      <w:r>
        <w:rPr>
          <w:rFonts w:eastAsia="Times New Roman" w:cs="Arial" w:ascii="Arial" w:hAnsi="Arial"/>
          <w:color w:val="000000"/>
          <w:vertAlign w:val="superscript"/>
          <w:lang w:eastAsia="en-AU"/>
        </w:rPr>
        <w:t>st</w:t>
      </w:r>
      <w:r>
        <w:rPr>
          <w:rFonts w:eastAsia="Times New Roman" w:cs="Arial" w:ascii="Arial" w:hAnsi="Arial"/>
          <w:color w:val="000000"/>
          <w:lang w:eastAsia="en-AU"/>
        </w:rPr>
        <w:t xml:space="preserve"> October 2019. Attendance at the Post-Conference Alumni and Industry Networking Event is not transferable.</w:t>
      </w:r>
    </w:p>
    <w:p>
      <w:pPr>
        <w:pStyle w:val="ListParagraph"/>
        <w:numPr>
          <w:ilvl w:val="0"/>
          <w:numId w:val="1"/>
        </w:numPr>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The prizes are not transferable or exchangeable and cannot be taken as cash.</w:t>
      </w:r>
    </w:p>
    <w:p>
      <w:pPr>
        <w:pStyle w:val="ListParagraph"/>
        <w:numPr>
          <w:ilvl w:val="0"/>
          <w:numId w:val="1"/>
        </w:numPr>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The Judging Panel’s decision is final and made at its sole and complete discretion. No correspondence will be entered into. The Judging Panel and organisers of the CEPA conference retain full discretion in awarding prizes.</w:t>
      </w:r>
    </w:p>
    <w:p>
      <w:pPr>
        <w:pStyle w:val="ListParagraph"/>
        <w:numPr>
          <w:ilvl w:val="0"/>
          <w:numId w:val="1"/>
        </w:numPr>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The winner agrees to use the travel grant funding before 30</w:t>
      </w:r>
      <w:r>
        <w:rPr>
          <w:rFonts w:eastAsia="Times New Roman" w:cs="Arial" w:ascii="Arial" w:hAnsi="Arial"/>
          <w:color w:val="000000"/>
          <w:vertAlign w:val="superscript"/>
          <w:lang w:eastAsia="en-AU"/>
        </w:rPr>
        <w:t>th</w:t>
      </w:r>
      <w:r>
        <w:rPr>
          <w:rFonts w:eastAsia="Times New Roman" w:cs="Arial" w:ascii="Arial" w:hAnsi="Arial"/>
          <w:color w:val="000000"/>
          <w:lang w:eastAsia="en-AU"/>
        </w:rPr>
        <w:t xml:space="preserve"> June 2020. Otherwise the travel award will be forfeited by the winner.</w:t>
      </w:r>
    </w:p>
    <w:p>
      <w:pPr>
        <w:pStyle w:val="ListParagraph"/>
        <w:numPr>
          <w:ilvl w:val="0"/>
          <w:numId w:val="1"/>
        </w:numPr>
        <w:shd w:val="clear" w:color="auto" w:fill="FFFFFF"/>
        <w:spacing w:lineRule="atLeast" w:line="360" w:before="0" w:after="180"/>
        <w:contextualSpacing/>
        <w:rPr>
          <w:rFonts w:ascii="Arial" w:hAnsi="Arial" w:eastAsia="Times New Roman" w:cs="Arial"/>
          <w:b/>
          <w:b/>
          <w:color w:val="000000"/>
          <w:lang w:eastAsia="en-AU"/>
        </w:rPr>
      </w:pPr>
      <w:r>
        <w:rPr>
          <w:rFonts w:eastAsia="Times New Roman" w:cs="Arial" w:ascii="Arial" w:hAnsi="Arial"/>
          <w:b/>
          <w:color w:val="000000"/>
          <w:lang w:eastAsia="en-AU"/>
        </w:rPr>
        <w:t>Claiming the travel award</w:t>
      </w:r>
    </w:p>
    <w:p>
      <w:pPr>
        <w:pStyle w:val="ListParagraph"/>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The CEPA travel award can be used to cover airfares and travel-related expenses such as taxes and conference registration fees meeting the following criteria:</w:t>
      </w:r>
    </w:p>
    <w:p>
      <w:pPr>
        <w:pStyle w:val="ListParagraph"/>
        <w:numPr>
          <w:ilvl w:val="0"/>
          <w:numId w:val="3"/>
        </w:numPr>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Presenting at a conference and evidenced with the acceptance /invitation to present, and/or</w:t>
      </w:r>
    </w:p>
    <w:p>
      <w:pPr>
        <w:pStyle w:val="ListParagraph"/>
        <w:numPr>
          <w:ilvl w:val="0"/>
          <w:numId w:val="3"/>
        </w:numPr>
        <w:shd w:val="clear" w:color="auto" w:fill="FFFFFF"/>
        <w:spacing w:lineRule="atLeast" w:line="360" w:before="0" w:after="180"/>
        <w:contextualSpacing/>
        <w:rPr>
          <w:rFonts w:ascii="Arial" w:hAnsi="Arial" w:eastAsia="Times New Roman" w:cs="Arial"/>
          <w:color w:val="000000"/>
          <w:lang w:eastAsia="en-AU"/>
        </w:rPr>
      </w:pPr>
      <w:r>
        <w:rPr>
          <w:rFonts w:eastAsia="Times New Roman" w:cs="Arial" w:ascii="Arial" w:hAnsi="Arial"/>
          <w:color w:val="000000"/>
          <w:lang w:eastAsia="en-AU"/>
        </w:rPr>
        <w:t>Undertaking approved fieldwork relevant to the research project, evidenced by confirmation or planned activities</w:t>
      </w:r>
    </w:p>
    <w:p>
      <w:pPr>
        <w:pStyle w:val="ListParagraph"/>
        <w:numPr>
          <w:ilvl w:val="0"/>
          <w:numId w:val="3"/>
        </w:numPr>
        <w:shd w:val="clear" w:color="auto" w:fill="FFFFFF"/>
        <w:spacing w:lineRule="atLeast" w:line="360" w:before="0" w:after="180"/>
        <w:contextualSpacing/>
        <w:rPr/>
      </w:pPr>
      <w:r>
        <w:rPr>
          <w:rFonts w:eastAsia="Times New Roman" w:cs="Arial" w:ascii="Arial" w:hAnsi="Arial"/>
          <w:color w:val="000000"/>
          <w:lang w:eastAsia="en-AU"/>
        </w:rPr>
        <w:t xml:space="preserve">Submitting the original invoices to Tracy Groves </w:t>
      </w:r>
      <w:hyperlink r:id="rId3">
        <w:r>
          <w:rPr>
            <w:rStyle w:val="InternetLink"/>
            <w:rFonts w:eastAsia="Times New Roman" w:cs="Arial" w:ascii="Arial" w:hAnsi="Arial"/>
            <w:lang w:eastAsia="en-AU"/>
          </w:rPr>
          <w:t>Tracy.Groves@monash.edu</w:t>
        </w:r>
      </w:hyperlink>
      <w:r>
        <w:rPr>
          <w:rFonts w:eastAsia="Times New Roman" w:cs="Arial" w:ascii="Arial" w:hAnsi="Arial"/>
          <w:color w:val="000000"/>
          <w:lang w:eastAsia="en-AU"/>
        </w:rPr>
        <w:t xml:space="preserve"> </w:t>
      </w:r>
    </w:p>
    <w:sectPr>
      <w:headerReference w:type="default" r:id="rId4"/>
      <w:footerReference w:type="default" r:id="rId5"/>
      <w:type w:val="nextPage"/>
      <w:pgSz w:w="11906" w:h="16838"/>
      <w:pgMar w:left="851" w:right="851" w:header="709" w:top="851"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1923762513"/>
    </w:sdtPr>
    <w:sdtContent>
      <w:p>
        <w:pPr>
          <w:pStyle w:val="Header"/>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o:spid="shape_0" fillcolor="silver" stroked="f" style="position:absolute;margin-left:48.9pt;margin-top:299.6pt;width:412.35pt;height:146.1pt;rotation:315;mso-position-horizontal:center;mso-position-vertical:center;mso-position-vertical-relative:margin" type="shapetype_136">
              <v:path textpathok="t"/>
              <v:textpath on="t" fitshape="t" string="DRAFT" trim="t" style="font-family:&quot;Calibri&quot;;font-size:1pt"/>
              <w10:wrap type="none"/>
              <v:fill o:detectmouseclick="t" type="solid" color2="#3f3f3f" opacity="0.5"/>
              <v:stroke color="#3465a4" joinstyle="round" endcap="flat"/>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800" w:hanging="360"/>
      </w:pPr>
      <w:rPr>
        <w:rFonts w:ascii="Symbol" w:hAnsi="Symbol" w:cs="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H4" w:customStyle="1">
    <w:name w:val="h4"/>
    <w:basedOn w:val="DefaultParagraphFont"/>
    <w:qFormat/>
    <w:rsid w:val="002b052a"/>
    <w:rPr/>
  </w:style>
  <w:style w:type="character" w:styleId="InternetLink">
    <w:name w:val="Internet Link"/>
    <w:basedOn w:val="DefaultParagraphFont"/>
    <w:uiPriority w:val="99"/>
    <w:unhideWhenUsed/>
    <w:rsid w:val="009e48d1"/>
    <w:rPr>
      <w:color w:val="0563C1" w:themeColor="hyperlink"/>
      <w:u w:val="single"/>
    </w:rPr>
  </w:style>
  <w:style w:type="character" w:styleId="UnresolvedMention">
    <w:name w:val="Unresolved Mention"/>
    <w:basedOn w:val="DefaultParagraphFont"/>
    <w:uiPriority w:val="99"/>
    <w:semiHidden/>
    <w:unhideWhenUsed/>
    <w:qFormat/>
    <w:rsid w:val="009e48d1"/>
    <w:rPr>
      <w:color w:val="605E5C"/>
      <w:shd w:fill="E1DFDD" w:val="clear"/>
    </w:rPr>
  </w:style>
  <w:style w:type="character" w:styleId="HeaderChar" w:customStyle="1">
    <w:name w:val="Header Char"/>
    <w:basedOn w:val="DefaultParagraphFont"/>
    <w:link w:val="Header"/>
    <w:uiPriority w:val="99"/>
    <w:qFormat/>
    <w:rsid w:val="009e48d1"/>
    <w:rPr/>
  </w:style>
  <w:style w:type="character" w:styleId="FooterChar" w:customStyle="1">
    <w:name w:val="Footer Char"/>
    <w:basedOn w:val="DefaultParagraphFont"/>
    <w:link w:val="Footer"/>
    <w:uiPriority w:val="99"/>
    <w:qFormat/>
    <w:rsid w:val="009e48d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Arial" w:hAnsi="Arial" w:eastAsia="Times New Roman" w:cs="Arial"/>
      <w:lang w:eastAsia="en-AU"/>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2b052a"/>
    <w:pPr>
      <w:spacing w:lineRule="auto" w:line="240" w:beforeAutospacing="1" w:afterAutospacing="1"/>
    </w:pPr>
    <w:rPr>
      <w:rFonts w:ascii="Times New Roman" w:hAnsi="Times New Roman" w:eastAsia="Times New Roman" w:cs="Times New Roman"/>
      <w:sz w:val="24"/>
      <w:szCs w:val="24"/>
      <w:lang w:eastAsia="en-AU"/>
    </w:rPr>
  </w:style>
  <w:style w:type="paragraph" w:styleId="ListParagraph">
    <w:name w:val="List Paragraph"/>
    <w:basedOn w:val="Normal"/>
    <w:uiPriority w:val="34"/>
    <w:qFormat/>
    <w:rsid w:val="002b052a"/>
    <w:pPr>
      <w:spacing w:before="0" w:after="160"/>
      <w:ind w:left="720" w:hanging="0"/>
      <w:contextualSpacing/>
    </w:pPr>
    <w:rPr/>
  </w:style>
  <w:style w:type="paragraph" w:styleId="Header">
    <w:name w:val="Header"/>
    <w:basedOn w:val="Normal"/>
    <w:link w:val="HeaderChar"/>
    <w:uiPriority w:val="99"/>
    <w:unhideWhenUsed/>
    <w:rsid w:val="009e48d1"/>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9e48d1"/>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Tracy.Groves@monash.ed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F5C8-0DE1-424D-AFB9-766A8B60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Application>LibreOffice/6.0.7.3$Linux_X86_64 LibreOffice_project/00m0$Build-3</Application>
  <Pages>1</Pages>
  <Words>301</Words>
  <Characters>1693</Characters>
  <CharactersWithSpaces>1959</CharactersWithSpaces>
  <Paragraphs>20</Paragraphs>
  <Company>Monash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2019-07-25T01:34:00Z</dcterms:created>
  <dc:creator>Lilyanne Price</dc:creator>
  <dc:description/>
  <dc:language>en-AU</dc:language>
  <cp:lastModifiedBy/>
  <dcterms:modified xsi:type="dcterms:W3CDTF">2019-07-31T20:50:39Z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Monash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